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0519" w14:textId="77777777" w:rsidR="00D955C2" w:rsidRPr="0045386A" w:rsidRDefault="00D955C2" w:rsidP="00D955C2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NDËRMARRËSIA NË TI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D955C2" w:rsidRPr="00D8040C" w14:paraId="782C91BF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63F99095" w14:textId="77777777" w:rsidR="00D955C2" w:rsidRPr="00D8040C" w:rsidRDefault="00D955C2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D955C2" w:rsidRPr="00A30D21" w14:paraId="1668BFE1" w14:textId="77777777" w:rsidTr="008925A9">
        <w:tc>
          <w:tcPr>
            <w:tcW w:w="10890" w:type="dxa"/>
          </w:tcPr>
          <w:p w14:paraId="60E0429F" w14:textId="77777777" w:rsidR="00D955C2" w:rsidRPr="00A30D21" w:rsidRDefault="00D955C2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atributet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nevojshme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shërbimi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thjeshta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biznesi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tradicional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fillimin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955C2" w:rsidRPr="006160B4" w14:paraId="11AC534F" w14:textId="77777777" w:rsidTr="008925A9">
        <w:tc>
          <w:tcPr>
            <w:tcW w:w="10890" w:type="dxa"/>
            <w:shd w:val="clear" w:color="auto" w:fill="1F3864"/>
          </w:tcPr>
          <w:p w14:paraId="4B95E6B7" w14:textId="77777777" w:rsidR="00D955C2" w:rsidRPr="00A30D21" w:rsidRDefault="00D955C2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50C0DB5D" w14:textId="77777777" w:rsidR="00D955C2" w:rsidRPr="006160B4" w:rsidRDefault="00D955C2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955C2" w:rsidRPr="006160B4" w14:paraId="1D6CE444" w14:textId="77777777" w:rsidTr="008925A9">
        <w:tc>
          <w:tcPr>
            <w:tcW w:w="10890" w:type="dxa"/>
          </w:tcPr>
          <w:p w14:paraId="1B04ACFB" w14:textId="77777777" w:rsidR="00D955C2" w:rsidRPr="006160B4" w:rsidRDefault="00D955C2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shumta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qoftë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dizajnuar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ofruar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mbështetje</w:t>
            </w:r>
            <w:proofErr w:type="spellEnd"/>
            <w:r>
              <w:rPr>
                <w:sz w:val="24"/>
                <w:szCs w:val="24"/>
              </w:rPr>
              <w:t xml:space="preserve"> TI. </w:t>
            </w:r>
            <w:proofErr w:type="spellStart"/>
            <w:r>
              <w:rPr>
                <w:sz w:val="24"/>
                <w:szCs w:val="24"/>
              </w:rPr>
              <w:t>Bizneset</w:t>
            </w:r>
            <w:proofErr w:type="spellEnd"/>
            <w:r>
              <w:rPr>
                <w:sz w:val="24"/>
                <w:szCs w:val="24"/>
              </w:rPr>
              <w:t xml:space="preserve"> e IT-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ndërtuara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krijojnë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pronarët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kombin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gjenerojnë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mundësi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reja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t'u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klientëve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vlerë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shtuar</w:t>
            </w:r>
            <w:proofErr w:type="spellEnd"/>
            <w:r>
              <w:rPr>
                <w:sz w:val="24"/>
                <w:szCs w:val="24"/>
              </w:rPr>
              <w:t xml:space="preserve">. WhatsApp®, Airbnb®, Impression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Wizzed</w:t>
            </w:r>
            <w:proofErr w:type="spellEnd"/>
            <w:r>
              <w:rPr>
                <w:sz w:val="24"/>
                <w:szCs w:val="24"/>
              </w:rPr>
              <w:t xml:space="preserve"> Media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softuerësh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shërbimesh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kolegët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marketingu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uebsajtet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start-up-et e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 mobile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ishin</w:t>
            </w:r>
            <w:proofErr w:type="spellEnd"/>
            <w:r>
              <w:rPr>
                <w:sz w:val="24"/>
                <w:szCs w:val="24"/>
              </w:rPr>
              <w:t xml:space="preserve"> ide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hynë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sukses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tregjet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kërkesë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rritën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lulëzuara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mësoni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rreth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ndërmarrjes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parë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sipërmarrësve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teknikat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kontribuojnë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ngritjen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drejtimin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Sipërmarrësit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ndjekin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pasi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ketë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fitojnë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drejt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suksesit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kapërcejnë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diçka</w:t>
            </w:r>
            <w:proofErr w:type="spellEnd"/>
            <w:r>
              <w:rPr>
                <w:sz w:val="24"/>
                <w:szCs w:val="24"/>
              </w:rPr>
              <w:t xml:space="preserve"> me të </w:t>
            </w:r>
            <w:proofErr w:type="spellStart"/>
            <w:r>
              <w:rPr>
                <w:sz w:val="24"/>
                <w:szCs w:val="24"/>
              </w:rPr>
              <w:t>cilën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gjithë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mësuar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merren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shqyrtoni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filluar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Pasi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identifikuar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mundshëm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,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klientët</w:t>
            </w:r>
            <w:proofErr w:type="spellEnd"/>
            <w:r>
              <w:rPr>
                <w:sz w:val="24"/>
                <w:szCs w:val="24"/>
              </w:rPr>
              <w:t xml:space="preserve"> e duan </w:t>
            </w:r>
            <w:proofErr w:type="spellStart"/>
            <w:r>
              <w:rPr>
                <w:sz w:val="24"/>
                <w:szCs w:val="24"/>
              </w:rPr>
              <w:t>atë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veçori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pëlqejnë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nuk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pëlqejnë</w:t>
            </w:r>
            <w:proofErr w:type="spellEnd"/>
            <w:r>
              <w:rPr>
                <w:sz w:val="24"/>
                <w:szCs w:val="24"/>
              </w:rPr>
              <w:t xml:space="preserve">. Ju do ta </w:t>
            </w:r>
            <w:proofErr w:type="spellStart"/>
            <w:r>
              <w:rPr>
                <w:sz w:val="24"/>
                <w:szCs w:val="24"/>
              </w:rPr>
              <w:t>bëni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kryer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hulumtime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tregut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duke </w:t>
            </w:r>
            <w:proofErr w:type="spellStart"/>
            <w:r>
              <w:rPr>
                <w:sz w:val="24"/>
                <w:szCs w:val="24"/>
              </w:rPr>
              <w:t>krijuar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marketing </w:t>
            </w:r>
            <w:proofErr w:type="spellStart"/>
            <w:r>
              <w:rPr>
                <w:sz w:val="24"/>
                <w:szCs w:val="24"/>
              </w:rPr>
              <w:t>plani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nxitur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shitjet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gjeneruar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nevojshme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mbijetuar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Ndërmarrjet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fillestare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plane të </w:t>
            </w:r>
            <w:proofErr w:type="spellStart"/>
            <w:r>
              <w:rPr>
                <w:sz w:val="24"/>
                <w:szCs w:val="24"/>
              </w:rPr>
              <w:t>zgjuara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liga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fokusohen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kryesisht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produkteve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shërbimeve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Megjithatë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ashtu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tuaja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interesuara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jeni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bindur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qëndrueshmërinë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idesë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mësoni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krijoni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paraqisni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fillestar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tuaj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kërkimit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planifikimit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Punësueshmëria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jenë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dobishme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krijoni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ndërmarrje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57DB853" w14:textId="77777777" w:rsidR="00D955C2" w:rsidRPr="0045386A" w:rsidRDefault="00D955C2" w:rsidP="00D955C2">
      <w:pPr>
        <w:tabs>
          <w:tab w:val="left" w:pos="3011"/>
        </w:tabs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  <w:lang w:val="sq-AL"/>
        </w:rPr>
      </w:pPr>
      <w:r w:rsidRPr="0045386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  <w:lang w:val="sq-AL"/>
        </w:rPr>
        <w:tab/>
      </w:r>
    </w:p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D955C2" w:rsidRPr="0045386A" w14:paraId="1362F2C7" w14:textId="77777777" w:rsidTr="008925A9">
        <w:tc>
          <w:tcPr>
            <w:tcW w:w="10890" w:type="dxa"/>
            <w:gridSpan w:val="3"/>
            <w:shd w:val="clear" w:color="auto" w:fill="1F4E79"/>
          </w:tcPr>
          <w:p w14:paraId="73154E1F" w14:textId="77777777" w:rsidR="00D955C2" w:rsidRPr="0045386A" w:rsidRDefault="00D955C2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Nxënësi hulumton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natyrën e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sipërmarrjes në një kontekst të TI-së</w:t>
            </w:r>
          </w:p>
        </w:tc>
      </w:tr>
      <w:tr w:rsidR="00D955C2" w:rsidRPr="0045386A" w14:paraId="1B16BCDD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60864FA" w14:textId="77777777" w:rsidR="00D955C2" w:rsidRPr="0045386A" w:rsidRDefault="00D955C2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RM1-1 Parimet dhe karakteristikat e sipërmarrjes </w:t>
            </w:r>
          </w:p>
        </w:tc>
      </w:tr>
      <w:tr w:rsidR="00D955C2" w:rsidRPr="0045386A" w14:paraId="1C1B3540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2582F4B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Auditimi i aftësive dhe puna në grup</w:t>
            </w:r>
          </w:p>
        </w:tc>
      </w:tr>
      <w:tr w:rsidR="00D955C2" w:rsidRPr="0045386A" w14:paraId="78A077DA" w14:textId="77777777" w:rsidTr="008925A9"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6AC65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D955C2" w:rsidRPr="0045386A" w14:paraId="7374454C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F22EC3E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9CDDEB7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9E5E44E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955C2" w:rsidRPr="0045386A" w14:paraId="367125F8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4E9360F5" w14:textId="77777777" w:rsidR="00D955C2" w:rsidRPr="0045386A" w:rsidRDefault="00D955C2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Shpjegoni, duke përdorur shembuj, parimet dhe karakteristikat që çojnë në ndërmarrje të suksesshme.</w:t>
            </w:r>
          </w:p>
          <w:p w14:paraId="06FB63A9" w14:textId="77777777" w:rsidR="00D955C2" w:rsidRPr="0045386A" w:rsidRDefault="00D955C2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Kryeni një auditim të aftë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sive të fituara sipërmarrëse dhe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duke përshkruar çdo boshllëk në aftësi.</w:t>
            </w:r>
          </w:p>
        </w:tc>
        <w:tc>
          <w:tcPr>
            <w:tcW w:w="3630" w:type="dxa"/>
            <w:shd w:val="clear" w:color="auto" w:fill="auto"/>
          </w:tcPr>
          <w:p w14:paraId="752AF6E6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Diskutoni, duke përdorur shembuj, parimet dhe karakteristikat që çojnë në ndërmarrje të suksesshme.</w:t>
            </w:r>
          </w:p>
          <w:p w14:paraId="0C4ED1B7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Kryeni një aud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itim realist të aftësive të fituara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duke shpjeguar se si mund të kapërcehen çdo boshllëk në aftësi.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6D00C35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Vlerësoni, duke përdorur shembuj, parimet dhe karakteristikat që çojnë në ndërmarrje të suksesshme dhe aftësitë tuaja, duke justifikuar se si mund të kapërcehen në mënyrë efektive çdo boshllëk në aftësi.</w:t>
            </w:r>
          </w:p>
        </w:tc>
      </w:tr>
      <w:tr w:rsidR="00D955C2" w:rsidRPr="0045386A" w14:paraId="4B50C25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2DCA7755" w14:textId="77777777" w:rsidR="00D955C2" w:rsidRPr="0045386A" w:rsidRDefault="00D955C2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 (RM1): Nxënësi zhvillon një plan marketingu për një produkt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ose shërbim të TI- së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bazuar në hulumtimin e tregut</w:t>
            </w:r>
          </w:p>
        </w:tc>
      </w:tr>
      <w:tr w:rsidR="00D955C2" w:rsidRPr="0045386A" w14:paraId="650342C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43D0C06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Zgjidhni një ide produkti ose shërbimi për t</w:t>
            </w:r>
            <w:r>
              <w:rPr>
                <w:b/>
                <w:sz w:val="24"/>
                <w:szCs w:val="24"/>
                <w:lang w:val="sq-AL"/>
              </w:rPr>
              <w:t>ë tregtuar për një ndërmarrje të TI-së</w:t>
            </w:r>
          </w:p>
        </w:tc>
      </w:tr>
      <w:tr w:rsidR="00D955C2" w:rsidRPr="0045386A" w14:paraId="25E4174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924DAA0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Hulumtoni mundësitë e tregu</w:t>
            </w:r>
            <w:r>
              <w:rPr>
                <w:b/>
                <w:sz w:val="24"/>
                <w:szCs w:val="24"/>
                <w:lang w:val="sq-AL"/>
              </w:rPr>
              <w:t>t për një produkt ose shërbim të TI-së</w:t>
            </w:r>
          </w:p>
        </w:tc>
      </w:tr>
      <w:tr w:rsidR="00D955C2" w:rsidRPr="0045386A" w14:paraId="3617238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3A5DA887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Planifikimi i marketingut për një produkt ose shërbi</w:t>
            </w:r>
            <w:r>
              <w:rPr>
                <w:b/>
                <w:sz w:val="24"/>
                <w:szCs w:val="24"/>
                <w:lang w:val="sq-AL"/>
              </w:rPr>
              <w:t>m të TI-së</w:t>
            </w:r>
          </w:p>
        </w:tc>
      </w:tr>
      <w:tr w:rsidR="00D955C2" w:rsidRPr="0045386A" w14:paraId="2B65E497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BBB044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D955C2" w:rsidRPr="0045386A" w14:paraId="1F2D4811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7EFF3E0F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0FCB10C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920ECE8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955C2" w:rsidRPr="0045386A" w14:paraId="380C2B83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2732681A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Zgjidhni një ide duke përdorur një sërë kriteres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h për një produkt ose shërbim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53D08290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Hulumtoni, me disa mospërputhje, tregun e mundshëm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një produkt ose shërbim të TI-së.</w:t>
            </w:r>
          </w:p>
          <w:p w14:paraId="012DB558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 një plan marketingu, me disa mospërputhje,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një produkt ose shërbim të TI-së.</w:t>
            </w:r>
          </w:p>
        </w:tc>
        <w:tc>
          <w:tcPr>
            <w:tcW w:w="3630" w:type="dxa"/>
            <w:shd w:val="clear" w:color="auto" w:fill="auto"/>
          </w:tcPr>
          <w:p w14:paraId="51929B14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Zhvilloni një plan të arsyetuar marketing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u për një produkt ose shërbim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duke përdorur kërkimin e duhur dhe një proces të përshtatshëm të përzgjedhjes së ideve.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0542B42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një plan marketingu gjithëpërfshirës dhe të arsyetuar mirë për një produkt ose shërbim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bazuar në kërkime efektive dhe një proces të përshtatshëm të përzgjedhjes së ideve.</w:t>
            </w:r>
          </w:p>
        </w:tc>
      </w:tr>
      <w:tr w:rsidR="00D955C2" w:rsidRPr="0045386A" w14:paraId="5C029C4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45EE24B2" w14:textId="77777777" w:rsidR="00D955C2" w:rsidRPr="0045386A" w:rsidRDefault="00D955C2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paraqet një plan për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një ndërmarrje fillestare të TI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-së duke përdorur parime të thjeshta ose tradicionale të biznesit</w:t>
            </w:r>
          </w:p>
        </w:tc>
      </w:tr>
      <w:tr w:rsidR="00D955C2" w:rsidRPr="0045386A" w14:paraId="21CA068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B33156E" w14:textId="77777777" w:rsidR="00D955C2" w:rsidRPr="0045386A" w:rsidRDefault="00D955C2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Planifikimi i biznesit</w:t>
            </w:r>
          </w:p>
        </w:tc>
      </w:tr>
      <w:tr w:rsidR="00D955C2" w:rsidRPr="0045386A" w14:paraId="125569B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E698D0F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Planifikimi i biznesit tradicional</w:t>
            </w:r>
          </w:p>
        </w:tc>
      </w:tr>
      <w:tr w:rsidR="00D955C2" w:rsidRPr="0045386A" w14:paraId="63E042C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1C66A13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Krijoni dhe paraqisni një plan</w:t>
            </w:r>
            <w:r>
              <w:rPr>
                <w:b/>
                <w:sz w:val="24"/>
                <w:szCs w:val="24"/>
                <w:lang w:val="sq-AL"/>
              </w:rPr>
              <w:t xml:space="preserve"> fillestar për një ndërmarrje të TI-së</w:t>
            </w:r>
          </w:p>
        </w:tc>
      </w:tr>
      <w:tr w:rsidR="00D955C2" w:rsidRPr="0045386A" w14:paraId="65055559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6DB6AA" w14:textId="77777777" w:rsidR="00D955C2" w:rsidRPr="0045386A" w:rsidRDefault="00D955C2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D955C2" w:rsidRPr="0045386A" w14:paraId="5F3D717F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18A81D03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46DC23A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1C0DF26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955C2" w:rsidRPr="0045386A" w14:paraId="2C524522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5337F3EC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Hartoni një plan bazë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 të filluar një ndërmarrje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24958CF6" w14:textId="77777777" w:rsidR="00D955C2" w:rsidRPr="0045386A" w:rsidRDefault="00D955C2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Paraqisni, me njëfarë mungesë qartësie, një plan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 të filluar një ndërmarrje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14:paraId="184D863F" w14:textId="77777777" w:rsidR="00D955C2" w:rsidRPr="0045386A" w:rsidRDefault="00D955C2" w:rsidP="008925A9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RM3.M4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Paraqisni qartë një plan të arsyetuar për të filluar një</w:t>
            </w:r>
          </w:p>
          <w:p w14:paraId="7123E04C" w14:textId="77777777" w:rsidR="00D955C2" w:rsidRPr="0045386A" w:rsidRDefault="00D955C2" w:rsidP="008925A9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ndërmarrje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860B368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Paraqisni në mënyrë të qartë dhe të përmbledhur një plan të arsyetuar mirë dhe efektiv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 të filluar një ndërmarrje të TI-së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00CF5090" w14:textId="77777777" w:rsidR="00D955C2" w:rsidRPr="0045386A" w:rsidRDefault="00D955C2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7DE1D071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2"/>
    <w:rsid w:val="003D2928"/>
    <w:rsid w:val="00725077"/>
    <w:rsid w:val="00D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7535"/>
  <w15:chartTrackingRefBased/>
  <w15:docId w15:val="{BA7EAA3B-5AFA-4BA8-95C9-E742A33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C2"/>
  </w:style>
  <w:style w:type="paragraph" w:styleId="Heading1">
    <w:name w:val="heading 1"/>
    <w:basedOn w:val="Normal"/>
    <w:next w:val="Normal"/>
    <w:link w:val="Heading1Char"/>
    <w:uiPriority w:val="9"/>
    <w:qFormat/>
    <w:rsid w:val="00D95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D9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2022-06-15T14:19:00Z</dcterms:created>
  <dcterms:modified xsi:type="dcterms:W3CDTF">2022-06-15T14:19:00Z</dcterms:modified>
</cp:coreProperties>
</file>