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34FC" w14:textId="77777777" w:rsidR="00D80F15" w:rsidRPr="00026407" w:rsidRDefault="00D80F15" w:rsidP="00D80F15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lang w:val="sq-AL"/>
        </w:rPr>
      </w:pPr>
      <w:r w:rsidRPr="00824B85">
        <w:rPr>
          <w:b/>
          <w:lang w:val="sq-AL"/>
        </w:rPr>
        <w:t>SIGURIA KIBERNETIKE DHE MENAXHIMI I INCIDENTEVE</w:t>
      </w:r>
    </w:p>
    <w:p w14:paraId="608B99BC" w14:textId="77777777" w:rsidR="00D80F15" w:rsidRPr="007E405A" w:rsidRDefault="00D80F15" w:rsidP="00D80F15">
      <w:pPr>
        <w:rPr>
          <w:lang w:val="sq-AL"/>
        </w:rPr>
      </w:pPr>
    </w:p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D80F15" w:rsidRPr="0045386A" w14:paraId="1924A913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6695BA9B" w14:textId="77777777" w:rsidR="00D80F15" w:rsidRPr="00D8040C" w:rsidRDefault="00D80F15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D80F15" w:rsidRPr="0045386A" w14:paraId="23593073" w14:textId="77777777" w:rsidTr="008925A9">
        <w:tc>
          <w:tcPr>
            <w:tcW w:w="10890" w:type="dxa"/>
          </w:tcPr>
          <w:p w14:paraId="2E76EC6F" w14:textId="77777777" w:rsidR="00D80F15" w:rsidRPr="00A30D21" w:rsidRDefault="00D80F15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160B4">
              <w:rPr>
                <w:sz w:val="24"/>
                <w:szCs w:val="24"/>
              </w:rPr>
              <w:t>Nxënësit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mësojnë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kërcënimet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dhe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dobësitë</w:t>
            </w:r>
            <w:proofErr w:type="spellEnd"/>
            <w:r w:rsidRPr="006160B4">
              <w:rPr>
                <w:sz w:val="24"/>
                <w:szCs w:val="24"/>
              </w:rPr>
              <w:t xml:space="preserve"> e </w:t>
            </w:r>
            <w:proofErr w:type="spellStart"/>
            <w:r w:rsidRPr="006160B4">
              <w:rPr>
                <w:sz w:val="24"/>
                <w:szCs w:val="24"/>
              </w:rPr>
              <w:t>sigurisë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kibernetike</w:t>
            </w:r>
            <w:proofErr w:type="spellEnd"/>
            <w:r w:rsidRPr="006160B4">
              <w:rPr>
                <w:sz w:val="24"/>
                <w:szCs w:val="24"/>
              </w:rPr>
              <w:t xml:space="preserve">, </w:t>
            </w:r>
            <w:proofErr w:type="spellStart"/>
            <w:r w:rsidRPr="006160B4">
              <w:rPr>
                <w:sz w:val="24"/>
                <w:szCs w:val="24"/>
              </w:rPr>
              <w:t>metodat</w:t>
            </w:r>
            <w:proofErr w:type="spellEnd"/>
            <w:r w:rsidRPr="006160B4">
              <w:rPr>
                <w:sz w:val="24"/>
                <w:szCs w:val="24"/>
              </w:rPr>
              <w:t xml:space="preserve"> e </w:t>
            </w:r>
            <w:proofErr w:type="spellStart"/>
            <w:r w:rsidRPr="006160B4">
              <w:rPr>
                <w:sz w:val="24"/>
                <w:szCs w:val="24"/>
              </w:rPr>
              <w:t>përdorura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për</w:t>
            </w:r>
            <w:proofErr w:type="spellEnd"/>
            <w:r w:rsidRPr="006160B4">
              <w:rPr>
                <w:sz w:val="24"/>
                <w:szCs w:val="24"/>
              </w:rPr>
              <w:t xml:space="preserve"> të </w:t>
            </w:r>
            <w:proofErr w:type="spellStart"/>
            <w:r w:rsidRPr="006160B4">
              <w:rPr>
                <w:sz w:val="24"/>
                <w:szCs w:val="24"/>
              </w:rPr>
              <w:t>mbrojtur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sistemet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nga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kërcënimet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dhe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si</w:t>
            </w:r>
            <w:proofErr w:type="spellEnd"/>
            <w:r w:rsidRPr="006160B4">
              <w:rPr>
                <w:sz w:val="24"/>
                <w:szCs w:val="24"/>
              </w:rPr>
              <w:t xml:space="preserve"> të </w:t>
            </w:r>
            <w:proofErr w:type="spellStart"/>
            <w:r w:rsidRPr="006160B4">
              <w:rPr>
                <w:sz w:val="24"/>
                <w:szCs w:val="24"/>
              </w:rPr>
              <w:t>planifikojnë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dhe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menaxhojnë</w:t>
            </w:r>
            <w:proofErr w:type="spellEnd"/>
            <w:r w:rsidRPr="006160B4">
              <w:rPr>
                <w:sz w:val="24"/>
                <w:szCs w:val="24"/>
              </w:rPr>
              <w:t xml:space="preserve"> </w:t>
            </w:r>
            <w:proofErr w:type="spellStart"/>
            <w:r w:rsidRPr="006160B4">
              <w:rPr>
                <w:sz w:val="24"/>
                <w:szCs w:val="24"/>
              </w:rPr>
              <w:t>incidentet</w:t>
            </w:r>
            <w:proofErr w:type="spellEnd"/>
            <w:r w:rsidRPr="006160B4">
              <w:rPr>
                <w:sz w:val="24"/>
                <w:szCs w:val="24"/>
              </w:rPr>
              <w:t xml:space="preserve"> e </w:t>
            </w:r>
            <w:proofErr w:type="spellStart"/>
            <w:r w:rsidRPr="006160B4">
              <w:rPr>
                <w:sz w:val="24"/>
                <w:szCs w:val="24"/>
              </w:rPr>
              <w:t>sigurisë</w:t>
            </w:r>
            <w:proofErr w:type="spellEnd"/>
            <w:r w:rsidRPr="006160B4">
              <w:rPr>
                <w:sz w:val="24"/>
                <w:szCs w:val="24"/>
              </w:rPr>
              <w:t>.</w:t>
            </w:r>
          </w:p>
        </w:tc>
      </w:tr>
      <w:tr w:rsidR="00D80F15" w:rsidRPr="0045386A" w14:paraId="29B5DF8A" w14:textId="77777777" w:rsidTr="008925A9">
        <w:tc>
          <w:tcPr>
            <w:tcW w:w="10890" w:type="dxa"/>
            <w:shd w:val="clear" w:color="auto" w:fill="1F3864"/>
          </w:tcPr>
          <w:p w14:paraId="2FA46240" w14:textId="77777777" w:rsidR="00D80F15" w:rsidRPr="00A30D21" w:rsidRDefault="00D80F15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505A0D1D" w14:textId="77777777" w:rsidR="00D80F15" w:rsidRPr="006160B4" w:rsidRDefault="00D80F15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80F15" w:rsidRPr="0045386A" w14:paraId="3DA45470" w14:textId="77777777" w:rsidTr="008925A9">
        <w:tc>
          <w:tcPr>
            <w:tcW w:w="10890" w:type="dxa"/>
          </w:tcPr>
          <w:p w14:paraId="414D67FB" w14:textId="77777777" w:rsidR="00D80F15" w:rsidRPr="009E20F4" w:rsidRDefault="00D80F15" w:rsidP="008925A9">
            <w:pPr>
              <w:adjustRightInd w:val="0"/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9E20F4">
              <w:rPr>
                <w:sz w:val="24"/>
                <w:szCs w:val="24"/>
              </w:rPr>
              <w:t>Mbështetja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jonë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rritje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kompjuterike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dhënat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që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ato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përmbajnë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bën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prekshëm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ndaj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sulmeve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nga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kriminelët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ndaj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humbjes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këtyre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sistemeve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nëse</w:t>
            </w:r>
            <w:proofErr w:type="spellEnd"/>
            <w:r w:rsidRPr="009E20F4">
              <w:rPr>
                <w:sz w:val="24"/>
                <w:szCs w:val="24"/>
              </w:rPr>
              <w:t xml:space="preserve"> ka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aksident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ose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fatkeqësi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natyrore</w:t>
            </w:r>
            <w:proofErr w:type="spellEnd"/>
            <w:r w:rsidRPr="009E20F4">
              <w:rPr>
                <w:sz w:val="24"/>
                <w:szCs w:val="24"/>
              </w:rPr>
              <w:t xml:space="preserve">. Me </w:t>
            </w:r>
            <w:proofErr w:type="spellStart"/>
            <w:r w:rsidRPr="009E20F4">
              <w:rPr>
                <w:sz w:val="24"/>
                <w:szCs w:val="24"/>
              </w:rPr>
              <w:t>përmirësimin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sistemit</w:t>
            </w:r>
            <w:proofErr w:type="spellEnd"/>
            <w:r w:rsidRPr="009E20F4">
              <w:rPr>
                <w:sz w:val="24"/>
                <w:szCs w:val="24"/>
              </w:rPr>
              <w:t xml:space="preserve"> të TI-</w:t>
            </w:r>
            <w:proofErr w:type="spellStart"/>
            <w:r w:rsidRPr="009E20F4"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, </w:t>
            </w:r>
            <w:proofErr w:type="spellStart"/>
            <w:r w:rsidRPr="009E20F4">
              <w:rPr>
                <w:sz w:val="24"/>
                <w:szCs w:val="24"/>
              </w:rPr>
              <w:t>zhvillohen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metoda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më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sofistikuara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sulmit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është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rëndësishme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që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organizatat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kenë</w:t>
            </w:r>
            <w:proofErr w:type="spellEnd"/>
            <w:r w:rsidRPr="009E20F4">
              <w:rPr>
                <w:sz w:val="24"/>
                <w:szCs w:val="24"/>
              </w:rPr>
              <w:t xml:space="preserve"> plane të </w:t>
            </w:r>
            <w:proofErr w:type="spellStart"/>
            <w:r w:rsidRPr="009E20F4">
              <w:rPr>
                <w:sz w:val="24"/>
                <w:szCs w:val="24"/>
              </w:rPr>
              <w:t>forta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t'u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marrë</w:t>
            </w:r>
            <w:proofErr w:type="spellEnd"/>
            <w:r w:rsidRPr="009E20F4">
              <w:rPr>
                <w:sz w:val="24"/>
                <w:szCs w:val="24"/>
              </w:rPr>
              <w:t xml:space="preserve"> me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incident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përpara</w:t>
            </w:r>
            <w:proofErr w:type="spellEnd"/>
            <w:r w:rsidRPr="009E20F4">
              <w:rPr>
                <w:sz w:val="24"/>
                <w:szCs w:val="24"/>
              </w:rPr>
              <w:t xml:space="preserve"> se të </w:t>
            </w:r>
            <w:proofErr w:type="spellStart"/>
            <w:r w:rsidRPr="009E20F4">
              <w:rPr>
                <w:sz w:val="24"/>
                <w:szCs w:val="24"/>
              </w:rPr>
              <w:t>ndodhë</w:t>
            </w:r>
            <w:proofErr w:type="spellEnd"/>
            <w:r w:rsidRPr="009E20F4">
              <w:rPr>
                <w:sz w:val="24"/>
                <w:szCs w:val="24"/>
              </w:rPr>
              <w:t xml:space="preserve">. Të </w:t>
            </w:r>
            <w:proofErr w:type="spellStart"/>
            <w:r w:rsidRPr="009E20F4">
              <w:rPr>
                <w:sz w:val="24"/>
                <w:szCs w:val="24"/>
              </w:rPr>
              <w:t>gjithë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profesionistët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kërkojnë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kuptim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mirë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kërcënimeve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aktuale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ndaj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sistemeve</w:t>
            </w:r>
            <w:proofErr w:type="spellEnd"/>
            <w:r w:rsidRPr="009E20F4">
              <w:rPr>
                <w:sz w:val="24"/>
                <w:szCs w:val="24"/>
              </w:rPr>
              <w:t xml:space="preserve">, </w:t>
            </w:r>
            <w:proofErr w:type="spellStart"/>
            <w:r w:rsidRPr="009E20F4">
              <w:rPr>
                <w:sz w:val="24"/>
                <w:szCs w:val="24"/>
              </w:rPr>
              <w:t>si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aplikojnë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metoda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përshtatshme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efektive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mbrojtjes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menaxhojnë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incident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>.</w:t>
            </w:r>
          </w:p>
          <w:p w14:paraId="519AE086" w14:textId="77777777" w:rsidR="00D80F15" w:rsidRPr="006160B4" w:rsidRDefault="00D80F15" w:rsidP="008925A9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E20F4">
              <w:rPr>
                <w:sz w:val="24"/>
                <w:szCs w:val="24"/>
              </w:rPr>
              <w:t>Vendet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mbarë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botën</w:t>
            </w:r>
            <w:proofErr w:type="spellEnd"/>
            <w:r w:rsidRPr="009E20F4">
              <w:rPr>
                <w:sz w:val="24"/>
                <w:szCs w:val="24"/>
              </w:rPr>
              <w:t xml:space="preserve"> po </w:t>
            </w:r>
            <w:proofErr w:type="spellStart"/>
            <w:r w:rsidRPr="009E20F4">
              <w:rPr>
                <w:sz w:val="24"/>
                <w:szCs w:val="24"/>
              </w:rPr>
              <w:t>përshpejtojnë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përpjekjet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adresuar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rreziqet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ndaj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rrjeteve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tyre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komunikimit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publike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misionit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kritik</w:t>
            </w:r>
            <w:proofErr w:type="spellEnd"/>
            <w:r w:rsidRPr="009E20F4">
              <w:rPr>
                <w:sz w:val="24"/>
                <w:szCs w:val="24"/>
              </w:rPr>
              <w:t xml:space="preserve">.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këtë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njësi</w:t>
            </w:r>
            <w:proofErr w:type="spellEnd"/>
            <w:r w:rsidRPr="009E20F4">
              <w:rPr>
                <w:sz w:val="24"/>
                <w:szCs w:val="24"/>
              </w:rPr>
              <w:t xml:space="preserve">, </w:t>
            </w:r>
            <w:proofErr w:type="spellStart"/>
            <w:r w:rsidRPr="009E20F4">
              <w:rPr>
                <w:sz w:val="24"/>
                <w:szCs w:val="24"/>
              </w:rPr>
              <w:t>ju</w:t>
            </w:r>
            <w:proofErr w:type="spellEnd"/>
            <w:r w:rsidRPr="009E20F4"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shqyrtoni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shumë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lloje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ndryshme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sulmeve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 xml:space="preserve">, </w:t>
            </w:r>
            <w:proofErr w:type="spellStart"/>
            <w:r w:rsidRPr="009E20F4">
              <w:rPr>
                <w:sz w:val="24"/>
                <w:szCs w:val="24"/>
              </w:rPr>
              <w:t>dobësitë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që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ekzistojnë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rrjetit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teknikat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që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mund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përdoren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mbrojtur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rrjetit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organizate</w:t>
            </w:r>
            <w:proofErr w:type="spellEnd"/>
            <w:r w:rsidRPr="009E20F4"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hulumtoni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teknikat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përdorura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vlerësuar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rreziqet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mënyrat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planifikimit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t'u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marrë</w:t>
            </w:r>
            <w:proofErr w:type="spellEnd"/>
            <w:r w:rsidRPr="009E20F4">
              <w:rPr>
                <w:sz w:val="24"/>
                <w:szCs w:val="24"/>
              </w:rPr>
              <w:t xml:space="preserve"> me </w:t>
            </w:r>
            <w:proofErr w:type="spellStart"/>
            <w:r w:rsidRPr="009E20F4">
              <w:rPr>
                <w:sz w:val="24"/>
                <w:szCs w:val="24"/>
              </w:rPr>
              <w:t>rezultatet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incidenti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rikuperuar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pas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incidenti</w:t>
            </w:r>
            <w:proofErr w:type="spellEnd"/>
            <w:r w:rsidRPr="009E20F4"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shqyrtoni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skenarë</w:t>
            </w:r>
            <w:proofErr w:type="spellEnd"/>
            <w:r w:rsidRPr="009E20F4">
              <w:rPr>
                <w:sz w:val="24"/>
                <w:szCs w:val="24"/>
              </w:rPr>
              <w:t xml:space="preserve">, do të </w:t>
            </w:r>
            <w:proofErr w:type="spellStart"/>
            <w:r w:rsidRPr="009E20F4">
              <w:rPr>
                <w:sz w:val="24"/>
                <w:szCs w:val="24"/>
              </w:rPr>
              <w:t>kryeni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vlerësime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rrezikut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përgatitni</w:t>
            </w:r>
            <w:proofErr w:type="spellEnd"/>
            <w:r w:rsidRPr="009E20F4">
              <w:rPr>
                <w:sz w:val="24"/>
                <w:szCs w:val="24"/>
              </w:rPr>
              <w:t xml:space="preserve"> plane </w:t>
            </w:r>
            <w:proofErr w:type="spellStart"/>
            <w:r w:rsidRPr="009E20F4">
              <w:rPr>
                <w:sz w:val="24"/>
                <w:szCs w:val="24"/>
              </w:rPr>
              <w:t>mbrojtëse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përpara</w:t>
            </w:r>
            <w:proofErr w:type="spellEnd"/>
            <w:r w:rsidRPr="009E20F4">
              <w:rPr>
                <w:sz w:val="24"/>
                <w:szCs w:val="24"/>
              </w:rPr>
              <w:t xml:space="preserve"> se të </w:t>
            </w:r>
            <w:proofErr w:type="spellStart"/>
            <w:r w:rsidRPr="009E20F4">
              <w:rPr>
                <w:sz w:val="24"/>
                <w:szCs w:val="24"/>
              </w:rPr>
              <w:t>mbroni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rrjetit</w:t>
            </w:r>
            <w:proofErr w:type="spellEnd"/>
            <w:r w:rsidRPr="009E20F4">
              <w:rPr>
                <w:sz w:val="24"/>
                <w:szCs w:val="24"/>
              </w:rPr>
              <w:t xml:space="preserve">. Ju </w:t>
            </w:r>
            <w:proofErr w:type="spellStart"/>
            <w:r w:rsidRPr="009E20F4">
              <w:rPr>
                <w:sz w:val="24"/>
                <w:szCs w:val="24"/>
              </w:rPr>
              <w:t>gjithashtu</w:t>
            </w:r>
            <w:proofErr w:type="spellEnd"/>
            <w:r w:rsidRPr="009E20F4">
              <w:rPr>
                <w:sz w:val="24"/>
                <w:szCs w:val="24"/>
              </w:rPr>
              <w:t xml:space="preserve"> do të </w:t>
            </w:r>
            <w:proofErr w:type="spellStart"/>
            <w:r w:rsidRPr="009E20F4">
              <w:rPr>
                <w:sz w:val="24"/>
                <w:szCs w:val="24"/>
              </w:rPr>
              <w:t>shqyrtoni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provat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nga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incidentet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kibernetike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dokumentacionin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përkatës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sigurisë</w:t>
            </w:r>
            <w:proofErr w:type="spellEnd"/>
            <w:r w:rsidRPr="009E20F4">
              <w:rPr>
                <w:sz w:val="24"/>
                <w:szCs w:val="24"/>
              </w:rPr>
              <w:t xml:space="preserve">, duke </w:t>
            </w:r>
            <w:proofErr w:type="spellStart"/>
            <w:r w:rsidRPr="009E20F4">
              <w:rPr>
                <w:sz w:val="24"/>
                <w:szCs w:val="24"/>
              </w:rPr>
              <w:t>përdorur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provat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bërë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rekomandime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përmirësim</w:t>
            </w:r>
            <w:proofErr w:type="spellEnd"/>
            <w:r w:rsidRPr="009E20F4">
              <w:rPr>
                <w:sz w:val="24"/>
                <w:szCs w:val="24"/>
              </w:rPr>
              <w:t xml:space="preserve">. </w:t>
            </w:r>
            <w:proofErr w:type="spellStart"/>
            <w:r w:rsidRPr="009E20F4">
              <w:rPr>
                <w:sz w:val="24"/>
                <w:szCs w:val="24"/>
              </w:rPr>
              <w:t>Ndërsa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e TI-</w:t>
            </w:r>
            <w:proofErr w:type="spellStart"/>
            <w:r w:rsidRPr="009E20F4"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evoluojnë</w:t>
            </w:r>
            <w:proofErr w:type="spellEnd"/>
            <w:r w:rsidRPr="009E20F4">
              <w:rPr>
                <w:sz w:val="24"/>
                <w:szCs w:val="24"/>
              </w:rPr>
              <w:t xml:space="preserve">, ka </w:t>
            </w:r>
            <w:proofErr w:type="spellStart"/>
            <w:r w:rsidRPr="009E20F4">
              <w:rPr>
                <w:sz w:val="24"/>
                <w:szCs w:val="24"/>
              </w:rPr>
              <w:t>një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nevojë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në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rritje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profesionistët</w:t>
            </w:r>
            <w:proofErr w:type="spellEnd"/>
            <w:r w:rsidRPr="009E20F4">
              <w:rPr>
                <w:sz w:val="24"/>
                <w:szCs w:val="24"/>
              </w:rPr>
              <w:t xml:space="preserve"> e TI-</w:t>
            </w:r>
            <w:proofErr w:type="spellStart"/>
            <w:r w:rsidRPr="009E20F4">
              <w:rPr>
                <w:sz w:val="24"/>
                <w:szCs w:val="24"/>
              </w:rPr>
              <w:t>së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mbrojtur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sistemet</w:t>
            </w:r>
            <w:proofErr w:type="spellEnd"/>
            <w:r w:rsidRPr="009E20F4">
              <w:rPr>
                <w:sz w:val="24"/>
                <w:szCs w:val="24"/>
              </w:rPr>
              <w:t xml:space="preserve"> e </w:t>
            </w:r>
            <w:proofErr w:type="spellStart"/>
            <w:r w:rsidRPr="009E20F4">
              <w:rPr>
                <w:sz w:val="24"/>
                <w:szCs w:val="24"/>
              </w:rPr>
              <w:t>rrjetit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informacionin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që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ato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përmbajnë</w:t>
            </w:r>
            <w:proofErr w:type="spellEnd"/>
            <w:r w:rsidRPr="009E20F4">
              <w:rPr>
                <w:sz w:val="24"/>
                <w:szCs w:val="24"/>
              </w:rPr>
              <w:t xml:space="preserve">, duke </w:t>
            </w:r>
            <w:proofErr w:type="spellStart"/>
            <w:r w:rsidRPr="009E20F4">
              <w:rPr>
                <w:sz w:val="24"/>
                <w:szCs w:val="24"/>
              </w:rPr>
              <w:t>ofruar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veçori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përfitime</w:t>
            </w:r>
            <w:proofErr w:type="spellEnd"/>
            <w:r w:rsidRPr="009E20F4">
              <w:rPr>
                <w:sz w:val="24"/>
                <w:szCs w:val="24"/>
              </w:rPr>
              <w:t xml:space="preserve"> të </w:t>
            </w:r>
            <w:proofErr w:type="spellStart"/>
            <w:r w:rsidRPr="009E20F4">
              <w:rPr>
                <w:sz w:val="24"/>
                <w:szCs w:val="24"/>
              </w:rPr>
              <w:t>përmirësuara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për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organizatat</w:t>
            </w:r>
            <w:proofErr w:type="spellEnd"/>
            <w:r w:rsidRPr="009E20F4">
              <w:rPr>
                <w:sz w:val="24"/>
                <w:szCs w:val="24"/>
              </w:rPr>
              <w:t xml:space="preserve">, </w:t>
            </w:r>
            <w:proofErr w:type="spellStart"/>
            <w:r w:rsidRPr="009E20F4">
              <w:rPr>
                <w:sz w:val="24"/>
                <w:szCs w:val="24"/>
              </w:rPr>
              <w:t>klientët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dhe</w:t>
            </w:r>
            <w:proofErr w:type="spellEnd"/>
            <w:r w:rsidRPr="009E20F4">
              <w:rPr>
                <w:sz w:val="24"/>
                <w:szCs w:val="24"/>
              </w:rPr>
              <w:t xml:space="preserve"> </w:t>
            </w:r>
            <w:proofErr w:type="spellStart"/>
            <w:r w:rsidRPr="009E20F4">
              <w:rPr>
                <w:sz w:val="24"/>
                <w:szCs w:val="24"/>
              </w:rPr>
              <w:t>individët</w:t>
            </w:r>
            <w:proofErr w:type="spellEnd"/>
            <w:r w:rsidRPr="009E20F4">
              <w:rPr>
                <w:sz w:val="24"/>
                <w:szCs w:val="24"/>
              </w:rPr>
              <w:t>.</w:t>
            </w:r>
          </w:p>
        </w:tc>
      </w:tr>
      <w:tr w:rsidR="00D80F15" w:rsidRPr="0045386A" w14:paraId="3FC411AA" w14:textId="77777777" w:rsidTr="008925A9">
        <w:tc>
          <w:tcPr>
            <w:tcW w:w="1089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4482BC5" w14:textId="77777777" w:rsidR="00D80F15" w:rsidRPr="0045386A" w:rsidRDefault="00D80F15" w:rsidP="008925A9">
            <w:pPr>
              <w:adjustRightInd w:val="0"/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1 (RM1): Nxënësi kupton kërcënimet e sigurisë kibernetike, dobësitë e sistemit dhe metodat e mbrojtjes së sigurisë</w:t>
            </w:r>
          </w:p>
        </w:tc>
      </w:tr>
      <w:tr w:rsidR="00D80F15" w:rsidRPr="0045386A" w14:paraId="25D2626F" w14:textId="77777777" w:rsidTr="008925A9">
        <w:tc>
          <w:tcPr>
            <w:tcW w:w="10890" w:type="dxa"/>
            <w:shd w:val="clear" w:color="auto" w:fill="FFFFFF" w:themeFill="background1"/>
          </w:tcPr>
          <w:p w14:paraId="5FE66C37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RM1-1 Kërcënimet e sigurisë kibernetike</w:t>
            </w:r>
          </w:p>
        </w:tc>
      </w:tr>
      <w:tr w:rsidR="00D80F15" w:rsidRPr="0045386A" w14:paraId="732B0F6F" w14:textId="77777777" w:rsidTr="008925A9">
        <w:tc>
          <w:tcPr>
            <w:tcW w:w="10890" w:type="dxa"/>
            <w:shd w:val="clear" w:color="auto" w:fill="FFFFFF" w:themeFill="background1"/>
          </w:tcPr>
          <w:p w14:paraId="1316F7BF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RM1-2 Dobësitë e sistemit</w:t>
            </w:r>
          </w:p>
        </w:tc>
      </w:tr>
      <w:tr w:rsidR="00D80F15" w:rsidRPr="0045386A" w14:paraId="4088482C" w14:textId="77777777" w:rsidTr="008925A9">
        <w:tc>
          <w:tcPr>
            <w:tcW w:w="10890" w:type="dxa"/>
            <w:shd w:val="clear" w:color="auto" w:fill="FFFFFF" w:themeFill="background1"/>
          </w:tcPr>
          <w:p w14:paraId="55FC063D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RM1-3 Përgjegjësitë ligjore</w:t>
            </w:r>
          </w:p>
        </w:tc>
      </w:tr>
      <w:tr w:rsidR="00D80F15" w:rsidRPr="0045386A" w14:paraId="54A69FC3" w14:textId="77777777" w:rsidTr="008925A9">
        <w:tc>
          <w:tcPr>
            <w:tcW w:w="10890" w:type="dxa"/>
            <w:shd w:val="clear" w:color="auto" w:fill="FFFFFF" w:themeFill="background1"/>
          </w:tcPr>
          <w:p w14:paraId="47459D0C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RM1-4 Masat e sigurisë fizike</w:t>
            </w:r>
          </w:p>
        </w:tc>
      </w:tr>
      <w:tr w:rsidR="00D80F15" w:rsidRPr="0045386A" w14:paraId="55708D70" w14:textId="77777777" w:rsidTr="008925A9">
        <w:tc>
          <w:tcPr>
            <w:tcW w:w="10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BE3D8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RM1-5 Masat e sigurisë së softuerit dhe harduerit</w:t>
            </w:r>
          </w:p>
        </w:tc>
      </w:tr>
    </w:tbl>
    <w:tbl>
      <w:tblPr>
        <w:tblStyle w:val="TableGrid14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D80F15" w:rsidRPr="0045386A" w14:paraId="3F598E5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</w:tcPr>
          <w:p w14:paraId="59EEF5D3" w14:textId="77777777" w:rsidR="00D80F15" w:rsidRPr="0045386A" w:rsidRDefault="00D80F15" w:rsidP="008925A9">
            <w:pPr>
              <w:adjustRightInd w:val="0"/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D80F15" w:rsidRPr="0045386A" w14:paraId="49AC114C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69B5C47E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7D3FF468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990236F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80F15" w:rsidRPr="0045386A" w14:paraId="391BFE4A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69205E62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Shpjegoni kërcënimet e ndryshme të sigurisë kibernetike që mund të ndikojnë në sistemet e IT të organizatave.</w:t>
            </w:r>
          </w:p>
          <w:p w14:paraId="19D1C446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F636FC6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dobësitë e sistemit që mund të ndikojnë në sistemet e IT të organizatave.</w:t>
            </w:r>
          </w:p>
          <w:p w14:paraId="44C3B733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358092E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RM1.K3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organizatat mund të përdorin masat e sigurisë fizike, softuerike dhe harduerike për të luftuar kërcënimet e sigurisë.</w:t>
            </w:r>
          </w:p>
          <w:p w14:paraId="0364E189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502D049C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ndikimin që kërcënimet e sigurisë kibernetike mund të kenë në sistemet e TI-së të organizatave, duke marrë parasysh kërkesat ligjore.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A16A538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RM1.RM2.D1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efektivitetin e masave të përdorura për të mbrojtur organizatat nga kërcënimet e sigurisë kibernetike duke marrë parasysh kërkesat ligjore.</w:t>
            </w:r>
          </w:p>
          <w:p w14:paraId="01CD394D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15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D80F15" w:rsidRPr="0045386A" w14:paraId="010741E6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01F72306" w14:textId="77777777" w:rsidR="00D80F15" w:rsidRPr="0045386A" w:rsidRDefault="00D80F15" w:rsidP="008925A9">
            <w:pPr>
              <w:spacing w:before="120" w:after="120"/>
              <w:rPr>
                <w:b/>
                <w:w w:val="9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Rezultatet e mësimnxënies 2 (RM2): Nxënësi 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>hulumton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implikimet e sigurisë të sistemeve në rrjet</w:t>
            </w:r>
          </w:p>
        </w:tc>
      </w:tr>
      <w:tr w:rsidR="00D80F15" w:rsidRPr="0045386A" w14:paraId="24478352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0E77C830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 xml:space="preserve">RM2-1 Llojet e rrjetit </w:t>
            </w:r>
          </w:p>
        </w:tc>
      </w:tr>
      <w:tr w:rsidR="00D80F15" w:rsidRPr="0045386A" w14:paraId="2DCE8BD7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668595BE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RM2-2 Komponentët e rrjetit</w:t>
            </w:r>
          </w:p>
        </w:tc>
      </w:tr>
      <w:tr w:rsidR="00D80F15" w:rsidRPr="0045386A" w14:paraId="535F0B68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67D78D92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RM2-3 Shërbimet dhe burimet e infrastrukturës së rrjetëzimit</w:t>
            </w:r>
          </w:p>
        </w:tc>
      </w:tr>
    </w:tbl>
    <w:tbl>
      <w:tblPr>
        <w:tblStyle w:val="TableGrid16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D80F15" w:rsidRPr="0045386A" w14:paraId="01AC073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004567CE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D80F15" w:rsidRPr="0045386A" w14:paraId="112B6B3E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3F9D26AA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0AE128A2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7AE07D14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80F15" w:rsidRPr="0045386A" w14:paraId="7500C567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49BDF07B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mund të sigurohen lloje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t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dhe komponent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et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e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ndryshëm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të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rrjeti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t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16BF790D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A939D72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RM2.K5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siguria kibernetike ndikon në infrastrukturën dhe burimet e rrjetit.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1C0C0152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 w:rsidRPr="00786C1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Analizoni implikimet e sigurisë të sistemeve të ndryshme në rrjet.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39B77A4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RM1.RM2.D1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efektivitetin e masave të përdorura për të mbrojtur organizatat nga kërcënimet e sigurisë kibernetike duke marrë parasysh kërkesat ligjore.</w:t>
            </w:r>
          </w:p>
          <w:p w14:paraId="4E4981AE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tbl>
      <w:tblPr>
        <w:tblStyle w:val="TableGrid17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D80F15" w:rsidRPr="0045386A" w14:paraId="144424DD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39A1EE6A" w14:textId="77777777" w:rsidR="00D80F15" w:rsidRPr="0045386A" w:rsidRDefault="00D80F15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3 (RM3): Nxënësi zhvillon një plan të mbrojtjes së sigurisë kibernetike për një organizatë të caktuar</w:t>
            </w:r>
          </w:p>
        </w:tc>
      </w:tr>
      <w:tr w:rsidR="00D80F15" w:rsidRPr="0045386A" w14:paraId="5C70556F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546E949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 xml:space="preserve">RM3-1 </w:t>
            </w:r>
            <w:r w:rsidRPr="00C6461C">
              <w:rPr>
                <w:b/>
                <w:sz w:val="24"/>
                <w:szCs w:val="24"/>
                <w:lang w:val="sq-AL"/>
              </w:rPr>
              <w:t>Vlerësimi i dobësive të sistemit kompjuterik</w:t>
            </w:r>
          </w:p>
        </w:tc>
      </w:tr>
      <w:tr w:rsidR="00D80F15" w:rsidRPr="0045386A" w14:paraId="42CBC9F0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5C8A5AD7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Vlerësimi i ashpërsisë së rrezikut për çdo kërcënim</w:t>
            </w:r>
          </w:p>
        </w:tc>
      </w:tr>
      <w:tr w:rsidR="00D80F15" w:rsidRPr="0045386A" w14:paraId="190A2723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F0EE23E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RM3-3 Plani për siguri kibernetike për një sistem</w:t>
            </w:r>
          </w:p>
        </w:tc>
      </w:tr>
      <w:tr w:rsidR="00D80F15" w:rsidRPr="0045386A" w14:paraId="5E08F2C9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358C2F8D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Politikat e brendshme</w:t>
            </w:r>
          </w:p>
        </w:tc>
      </w:tr>
      <w:tr w:rsidR="00D80F15" w:rsidRPr="0045386A" w14:paraId="5C23D73C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856FC90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</w:t>
            </w:r>
            <w:r>
              <w:rPr>
                <w:b/>
                <w:sz w:val="24"/>
                <w:szCs w:val="24"/>
                <w:lang w:val="sq-AL"/>
              </w:rPr>
              <w:t>5</w:t>
            </w:r>
            <w:r w:rsidRPr="0045386A">
              <w:rPr>
                <w:b/>
                <w:sz w:val="24"/>
                <w:szCs w:val="24"/>
                <w:lang w:val="sq-AL"/>
              </w:rPr>
              <w:t xml:space="preserve"> Ofruesit e shërbimeve të jashtme</w:t>
            </w:r>
          </w:p>
        </w:tc>
      </w:tr>
    </w:tbl>
    <w:tbl>
      <w:tblPr>
        <w:tblStyle w:val="TableGrid18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D80F15" w:rsidRPr="0045386A" w14:paraId="67AEFF7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6604F81B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D80F15" w:rsidRPr="0045386A" w14:paraId="65135E13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3F8A97E0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42F12F96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39BB64B6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80F15" w:rsidRPr="0045386A" w14:paraId="3EF00DF5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330CF571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Kryerja e një vlerësimi të rrezikut të dobësive të sistemit.</w:t>
            </w:r>
          </w:p>
          <w:p w14:paraId="1330B12B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RM3.K7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 Krijoni një plan sigurie kibernetike për sistemin IT të një organizate.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4E096C2D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5A87E4F8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Arsyetoni zgjedhjen e masave të sigurisë që përdoren për të mbrojtur sistemet e IT të një organizate.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A67EA24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RM3.RM4.D2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planin e sigurisë kibernetike, duke përfshirë ndikimin e tij në politikat e brendshme dhe ofruesit e shërbimeve të jashtme.</w:t>
            </w:r>
          </w:p>
          <w:p w14:paraId="6F8E3E11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tbl>
      <w:tblPr>
        <w:tblStyle w:val="TableGrid19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D80F15" w:rsidRPr="0045386A" w14:paraId="2F09307C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</w:tcPr>
          <w:p w14:paraId="1A544C8B" w14:textId="77777777" w:rsidR="00D80F15" w:rsidRPr="0045386A" w:rsidRDefault="00D80F15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4 (RM4): Nxënësi do të shqyrtoj procedurat për të mbledhur prova mjeko-ligjore pas një incidenti sigurie</w:t>
            </w:r>
          </w:p>
        </w:tc>
      </w:tr>
      <w:tr w:rsidR="00D80F15" w:rsidRPr="0045386A" w14:paraId="2746B41F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</w:tcPr>
          <w:p w14:paraId="0E95E389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 xml:space="preserve">RM4-1 Mbledhja e provave mjeko-ligjore </w:t>
            </w:r>
          </w:p>
        </w:tc>
      </w:tr>
      <w:tr w:rsidR="00D80F15" w:rsidRPr="0045386A" w14:paraId="5AD05A9B" w14:textId="77777777" w:rsidTr="008925A9">
        <w:trPr>
          <w:trHeight w:val="246"/>
        </w:trPr>
        <w:tc>
          <w:tcPr>
            <w:tcW w:w="10890" w:type="dxa"/>
            <w:shd w:val="clear" w:color="auto" w:fill="FFFFFF" w:themeFill="background1"/>
          </w:tcPr>
          <w:p w14:paraId="5E78C953" w14:textId="77777777" w:rsidR="00D80F15" w:rsidRPr="0045386A" w:rsidRDefault="00D80F15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RM4-1 Analiza sistematike mjeko-ligjore e një sistemi të dyshuar</w:t>
            </w:r>
          </w:p>
        </w:tc>
      </w:tr>
    </w:tbl>
    <w:tbl>
      <w:tblPr>
        <w:tblStyle w:val="TableGrid20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D80F15" w:rsidRPr="0045386A" w14:paraId="17D8355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</w:tcPr>
          <w:p w14:paraId="0630C3E7" w14:textId="77777777" w:rsidR="00D80F15" w:rsidRPr="0045386A" w:rsidRDefault="00D80F15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RM4</w:t>
            </w:r>
          </w:p>
        </w:tc>
      </w:tr>
      <w:tr w:rsidR="00D80F15" w:rsidRPr="0045386A" w14:paraId="41DF76FE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5C83C5FD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464F6442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6EC620A6" w14:textId="77777777" w:rsidR="00D80F15" w:rsidRPr="0045386A" w:rsidRDefault="00D80F15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D80F15" w:rsidRPr="0045386A" w14:paraId="0BF5AEF9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34E4BD53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RM4.K8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Shpjegoni procedurat mjekoligjore për mbledhjen e provave pas një incidenti sigurie.</w:t>
            </w:r>
          </w:p>
        </w:tc>
        <w:tc>
          <w:tcPr>
            <w:tcW w:w="3630" w:type="dxa"/>
            <w:shd w:val="clear" w:color="auto" w:fill="auto"/>
          </w:tcPr>
          <w:p w14:paraId="463FE4D4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RM4.M4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se si zbatohen procedurat mjeko-ligjore në një sistem të dyshimtë.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C3A8464" w14:textId="77777777" w:rsidR="00D80F15" w:rsidRPr="0045386A" w:rsidRDefault="00D80F15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color w:val="000000"/>
                <w:sz w:val="24"/>
                <w:szCs w:val="24"/>
                <w:lang w:val="sq-AL"/>
              </w:rPr>
              <w:t>RM3.RM4.D2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planin e sigurisë kibernetike, duke përfshirë ndikimin e tij në politikat e brendshme dhe ofruesit e shërbimeve të jashtme.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6ED3AC75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1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15"/>
    <w:rsid w:val="003D2928"/>
    <w:rsid w:val="00725077"/>
    <w:rsid w:val="00D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31A9"/>
  <w15:chartTrackingRefBased/>
  <w15:docId w15:val="{A95169E9-C061-4F03-8F94-07140C0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15"/>
  </w:style>
  <w:style w:type="paragraph" w:styleId="Heading1">
    <w:name w:val="heading 1"/>
    <w:basedOn w:val="Normal"/>
    <w:next w:val="Normal"/>
    <w:link w:val="Heading1Char"/>
    <w:uiPriority w:val="9"/>
    <w:qFormat/>
    <w:rsid w:val="00D80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2022-06-15T12:24:00Z</dcterms:created>
  <dcterms:modified xsi:type="dcterms:W3CDTF">2022-06-15T12:24:00Z</dcterms:modified>
</cp:coreProperties>
</file>